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88" w:rsidRDefault="00A84488">
      <w:pPr>
        <w:shd w:val="clear" w:color="auto" w:fill="FFFFFF"/>
        <w:spacing w:line="227" w:lineRule="exact"/>
        <w:rPr>
          <w:rFonts w:cs="Times New Roman"/>
          <w:b/>
          <w:bCs/>
        </w:rPr>
      </w:pPr>
    </w:p>
    <w:p w:rsidR="0065561F" w:rsidRDefault="0065561F">
      <w:pPr>
        <w:shd w:val="clear" w:color="auto" w:fill="FFFFFF"/>
        <w:spacing w:line="227" w:lineRule="exact"/>
        <w:rPr>
          <w:rFonts w:cs="Times New Roman"/>
          <w:b/>
          <w:bCs/>
        </w:rPr>
      </w:pPr>
    </w:p>
    <w:p w:rsidR="00D62F24" w:rsidRDefault="00D62F24">
      <w:pPr>
        <w:shd w:val="clear" w:color="auto" w:fill="FFFFFF"/>
        <w:spacing w:line="227" w:lineRule="exact"/>
        <w:rPr>
          <w:rFonts w:cs="Times New Roman"/>
          <w:b/>
          <w:bCs/>
        </w:rPr>
      </w:pPr>
    </w:p>
    <w:p w:rsidR="0065561F" w:rsidRDefault="0065561F">
      <w:pPr>
        <w:shd w:val="clear" w:color="auto" w:fill="FFFFFF"/>
        <w:spacing w:line="227" w:lineRule="exact"/>
        <w:rPr>
          <w:rFonts w:cs="Times New Roman"/>
          <w:b/>
          <w:bCs/>
        </w:rPr>
      </w:pPr>
    </w:p>
    <w:p w:rsidR="00A84488" w:rsidRDefault="00A84488">
      <w:pPr>
        <w:shd w:val="clear" w:color="auto" w:fill="FFFFFF"/>
        <w:spacing w:line="227" w:lineRule="exact"/>
        <w:rPr>
          <w:rFonts w:cs="Times New Roman"/>
          <w:b/>
          <w:bCs/>
        </w:rPr>
      </w:pPr>
    </w:p>
    <w:p w:rsidR="00447B8B" w:rsidRPr="00D62F24" w:rsidRDefault="00447B8B" w:rsidP="00447B8B">
      <w:pPr>
        <w:shd w:val="clear" w:color="auto" w:fill="FFFFFF"/>
        <w:spacing w:line="227" w:lineRule="exact"/>
      </w:pPr>
      <w:r w:rsidRPr="00D62F24">
        <w:rPr>
          <w:rFonts w:cs="Times New Roman"/>
          <w:b/>
          <w:bCs/>
        </w:rPr>
        <w:t>Š</w:t>
      </w:r>
      <w:r w:rsidRPr="00D62F24">
        <w:rPr>
          <w:b/>
          <w:bCs/>
        </w:rPr>
        <w:t xml:space="preserve">KOLA LIKOVNIH UMJETNOSTI              ŽUPANIJA SPLITSKO DALMATINSKA      </w:t>
      </w:r>
    </w:p>
    <w:p w:rsidR="00447B8B" w:rsidRPr="00D62F24" w:rsidRDefault="00447B8B" w:rsidP="00447B8B">
      <w:pPr>
        <w:shd w:val="clear" w:color="auto" w:fill="FFFFFF"/>
        <w:spacing w:line="227" w:lineRule="exact"/>
        <w:rPr>
          <w:b/>
          <w:bCs/>
        </w:rPr>
      </w:pPr>
      <w:r w:rsidRPr="00D62F24">
        <w:rPr>
          <w:b/>
          <w:bCs/>
        </w:rPr>
        <w:t xml:space="preserve">SPLIT  </w:t>
      </w:r>
      <w:r>
        <w:rPr>
          <w:b/>
          <w:bCs/>
        </w:rPr>
        <w:t xml:space="preserve">                                                         UPRAVNI ODJEL ZA PRORAČUN I FINANCIJE </w:t>
      </w:r>
    </w:p>
    <w:p w:rsidR="00447B8B" w:rsidRPr="00D62F24" w:rsidRDefault="00447B8B" w:rsidP="00447B8B">
      <w:pPr>
        <w:shd w:val="clear" w:color="auto" w:fill="FFFFFF"/>
        <w:spacing w:line="227" w:lineRule="exact"/>
      </w:pPr>
      <w:r w:rsidRPr="00D62F24">
        <w:rPr>
          <w:b/>
          <w:bCs/>
        </w:rPr>
        <w:t xml:space="preserve">Fausta </w:t>
      </w:r>
      <w:r>
        <w:rPr>
          <w:b/>
          <w:bCs/>
        </w:rPr>
        <w:t>Vrančića 17</w:t>
      </w:r>
      <w:r w:rsidRPr="00D62F24">
        <w:rPr>
          <w:b/>
          <w:bCs/>
        </w:rPr>
        <w:t xml:space="preserve">                             </w:t>
      </w:r>
      <w:r>
        <w:rPr>
          <w:b/>
          <w:bCs/>
        </w:rPr>
        <w:t xml:space="preserve">        SPLIT</w:t>
      </w:r>
    </w:p>
    <w:p w:rsidR="00447B8B" w:rsidRPr="00D62F24" w:rsidRDefault="00447B8B" w:rsidP="00447B8B">
      <w:pPr>
        <w:shd w:val="clear" w:color="auto" w:fill="FFFFFF"/>
        <w:spacing w:line="227" w:lineRule="exact"/>
        <w:ind w:left="11"/>
        <w:rPr>
          <w:b/>
        </w:rPr>
      </w:pPr>
      <w:r w:rsidRPr="00D62F24">
        <w:t xml:space="preserve">RKDP 18299                                                </w:t>
      </w:r>
    </w:p>
    <w:p w:rsidR="00447B8B" w:rsidRPr="00D62F24" w:rsidRDefault="00447B8B" w:rsidP="00447B8B">
      <w:pPr>
        <w:shd w:val="clear" w:color="auto" w:fill="FFFFFF"/>
        <w:spacing w:line="227" w:lineRule="exact"/>
        <w:ind w:left="7"/>
        <w:rPr>
          <w:b/>
        </w:rPr>
      </w:pPr>
      <w:r>
        <w:t>OIB 42749871786</w:t>
      </w:r>
    </w:p>
    <w:p w:rsidR="00447B8B" w:rsidRPr="00D62F24" w:rsidRDefault="00447B8B" w:rsidP="00447B8B">
      <w:pPr>
        <w:shd w:val="clear" w:color="auto" w:fill="FFFFFF"/>
        <w:spacing w:before="4" w:line="227" w:lineRule="exact"/>
        <w:ind w:left="4"/>
      </w:pPr>
      <w:r w:rsidRPr="00D62F24">
        <w:rPr>
          <w:rFonts w:cs="Times New Roman"/>
        </w:rPr>
        <w:t>Š</w:t>
      </w:r>
      <w:r w:rsidRPr="00D62F24">
        <w:t>ifranska oznaka:80220</w:t>
      </w:r>
    </w:p>
    <w:p w:rsidR="00447B8B" w:rsidRPr="00D62F24" w:rsidRDefault="00447B8B" w:rsidP="00447B8B">
      <w:pPr>
        <w:shd w:val="clear" w:color="auto" w:fill="FFFFFF"/>
        <w:spacing w:line="227" w:lineRule="exact"/>
        <w:ind w:left="7"/>
      </w:pPr>
      <w:r w:rsidRPr="00D62F24">
        <w:t xml:space="preserve">Broj </w:t>
      </w:r>
      <w:r w:rsidRPr="00D62F24">
        <w:rPr>
          <w:rFonts w:cs="Times New Roman"/>
        </w:rPr>
        <w:t>ž</w:t>
      </w:r>
      <w:r w:rsidRPr="00D62F24">
        <w:t>iro-ra</w:t>
      </w:r>
      <w:r w:rsidRPr="00D62F24">
        <w:rPr>
          <w:rFonts w:cs="Times New Roman"/>
        </w:rPr>
        <w:t>č</w:t>
      </w:r>
      <w:r w:rsidRPr="00D62F24">
        <w:t>una: 248008-1102095204</w:t>
      </w:r>
    </w:p>
    <w:p w:rsidR="00447B8B" w:rsidRPr="00D62F24" w:rsidRDefault="00447B8B" w:rsidP="00447B8B">
      <w:pPr>
        <w:shd w:val="clear" w:color="auto" w:fill="FFFFFF"/>
        <w:spacing w:before="443"/>
        <w:ind w:left="25"/>
        <w:rPr>
          <w:b/>
          <w:bCs/>
          <w:u w:val="single"/>
        </w:rPr>
      </w:pPr>
    </w:p>
    <w:p w:rsidR="00523DFE" w:rsidRDefault="00523DFE" w:rsidP="0054367E">
      <w:pPr>
        <w:shd w:val="clear" w:color="auto" w:fill="FFFFFF"/>
        <w:spacing w:line="227" w:lineRule="exact"/>
        <w:rPr>
          <w:rFonts w:cs="Times New Roman"/>
          <w:b/>
          <w:bCs/>
        </w:rPr>
      </w:pPr>
    </w:p>
    <w:p w:rsidR="00F017B7" w:rsidRDefault="00F017B7" w:rsidP="00F017B7">
      <w:pPr>
        <w:shd w:val="clear" w:color="auto" w:fill="FFFFFF"/>
        <w:spacing w:before="443"/>
        <w:ind w:left="25"/>
        <w:rPr>
          <w:b/>
          <w:bCs/>
          <w:u w:val="single"/>
        </w:rPr>
      </w:pPr>
      <w:r>
        <w:rPr>
          <w:b/>
          <w:bCs/>
          <w:u w:val="single"/>
        </w:rPr>
        <w:t>Bilje</w:t>
      </w:r>
      <w:r>
        <w:rPr>
          <w:rFonts w:cs="Times New Roman"/>
          <w:b/>
          <w:bCs/>
          <w:u w:val="single"/>
        </w:rPr>
        <w:t>š</w:t>
      </w:r>
      <w:r>
        <w:rPr>
          <w:b/>
          <w:bCs/>
          <w:u w:val="single"/>
        </w:rPr>
        <w:t>ke uz godi</w:t>
      </w:r>
      <w:r>
        <w:rPr>
          <w:rFonts w:cs="Times New Roman"/>
          <w:b/>
          <w:bCs/>
          <w:u w:val="single"/>
        </w:rPr>
        <w:t>š</w:t>
      </w:r>
      <w:r>
        <w:rPr>
          <w:b/>
          <w:bCs/>
          <w:u w:val="single"/>
        </w:rPr>
        <w:t>nja financijska izvje</w:t>
      </w:r>
      <w:r>
        <w:rPr>
          <w:rFonts w:cs="Times New Roman"/>
          <w:b/>
          <w:bCs/>
          <w:u w:val="single"/>
        </w:rPr>
        <w:t>šć</w:t>
      </w:r>
      <w:r>
        <w:rPr>
          <w:b/>
          <w:bCs/>
          <w:u w:val="single"/>
        </w:rPr>
        <w:t>a za razdoblje od 01.01.201</w:t>
      </w:r>
      <w:r w:rsidR="000D5513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do 31.12.201</w:t>
      </w:r>
      <w:r w:rsidR="000D5513">
        <w:rPr>
          <w:b/>
          <w:bCs/>
          <w:u w:val="single"/>
        </w:rPr>
        <w:t>4</w:t>
      </w:r>
      <w:r>
        <w:rPr>
          <w:b/>
          <w:bCs/>
          <w:u w:val="single"/>
        </w:rPr>
        <w:t>.</w:t>
      </w:r>
    </w:p>
    <w:p w:rsidR="00F017B7" w:rsidRDefault="00F017B7" w:rsidP="00F017B7">
      <w:pPr>
        <w:shd w:val="clear" w:color="auto" w:fill="FFFFFF"/>
        <w:spacing w:before="443"/>
        <w:ind w:left="25"/>
      </w:pPr>
      <w:r w:rsidRPr="00764597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Bilje</w:t>
      </w:r>
      <w:r>
        <w:rPr>
          <w:rFonts w:cs="Times New Roman"/>
          <w:b/>
          <w:bCs/>
          <w:spacing w:val="-1"/>
        </w:rPr>
        <w:t>š</w:t>
      </w:r>
      <w:r>
        <w:rPr>
          <w:b/>
          <w:bCs/>
          <w:spacing w:val="-1"/>
        </w:rPr>
        <w:t>ke uz ra</w:t>
      </w:r>
      <w:r>
        <w:rPr>
          <w:rFonts w:cs="Times New Roman"/>
          <w:b/>
          <w:bCs/>
          <w:spacing w:val="-1"/>
        </w:rPr>
        <w:t>č</w:t>
      </w:r>
      <w:r>
        <w:rPr>
          <w:b/>
          <w:bCs/>
          <w:spacing w:val="-1"/>
        </w:rPr>
        <w:t>un prihoda i rashoda</w:t>
      </w:r>
    </w:p>
    <w:p w:rsidR="00F017B7" w:rsidRDefault="00F017B7" w:rsidP="00F017B7"/>
    <w:p w:rsidR="00F017B7" w:rsidRDefault="00F017B7" w:rsidP="00F017B7">
      <w:r>
        <w:t xml:space="preserve">1.Ukupni prihodi ( AOP 001 ) </w:t>
      </w:r>
      <w:r w:rsidR="000D5513">
        <w:t xml:space="preserve">povećani  su za 4,1 </w:t>
      </w:r>
      <w:r>
        <w:t xml:space="preserve"> % u odnosu na 201</w:t>
      </w:r>
      <w:r w:rsidR="000D5513">
        <w:t>3</w:t>
      </w:r>
      <w:r>
        <w:t>.god.</w:t>
      </w:r>
      <w:r w:rsidR="000D5513">
        <w:t xml:space="preserve"> </w:t>
      </w:r>
      <w:r>
        <w:t xml:space="preserve">Ukupni prihodi iz  proračuna </w:t>
      </w:r>
      <w:r w:rsidR="000D5513">
        <w:t>povećani su za 3</w:t>
      </w:r>
      <w:r>
        <w:t>,</w:t>
      </w:r>
      <w:r w:rsidR="000D5513">
        <w:t>9</w:t>
      </w:r>
      <w:r>
        <w:t xml:space="preserve"> % u odnosu na 201</w:t>
      </w:r>
      <w:r w:rsidR="000D5513">
        <w:t>3</w:t>
      </w:r>
      <w:r>
        <w:t>.god.</w:t>
      </w:r>
      <w:r w:rsidR="000D5513" w:rsidRPr="000D5513">
        <w:t xml:space="preserve"> </w:t>
      </w:r>
      <w:r w:rsidR="000D5513">
        <w:t xml:space="preserve">Prihodi po osnovi primitaka od Ministarstava porasli su za 2,4 %.Prihodi iz proračuna ŽSD porasli su za 11,95 %. </w:t>
      </w:r>
      <w:r w:rsidR="00E8394B">
        <w:t>O</w:t>
      </w:r>
      <w:r>
        <w:t>stali</w:t>
      </w:r>
      <w:r w:rsidR="00E8394B">
        <w:t>(vlastiti i prihodi po posebnim propisima)</w:t>
      </w:r>
      <w:r>
        <w:t xml:space="preserve"> porasli su za 1</w:t>
      </w:r>
      <w:r w:rsidR="000D5513">
        <w:t xml:space="preserve">7,4 </w:t>
      </w:r>
      <w:r>
        <w:t>% u odnosu na 201</w:t>
      </w:r>
      <w:r w:rsidR="000D5513">
        <w:t>3</w:t>
      </w:r>
      <w:r>
        <w:t xml:space="preserve">.god. </w:t>
      </w:r>
    </w:p>
    <w:p w:rsidR="00F017B7" w:rsidRDefault="00F017B7" w:rsidP="00F017B7">
      <w:r>
        <w:t xml:space="preserve"> </w:t>
      </w:r>
    </w:p>
    <w:p w:rsidR="00F017B7" w:rsidRDefault="00F017B7" w:rsidP="00F017B7">
      <w:pPr>
        <w:rPr>
          <w:spacing w:val="-16"/>
        </w:rPr>
      </w:pPr>
      <w:r>
        <w:t xml:space="preserve">2. Ukupni rashodi ( AOP 132 ) </w:t>
      </w:r>
      <w:r w:rsidR="00E8394B">
        <w:t xml:space="preserve">povećani su za 2,4 % u </w:t>
      </w:r>
      <w:r>
        <w:t>odnosu na 201</w:t>
      </w:r>
      <w:r w:rsidR="00E8394B">
        <w:t>3</w:t>
      </w:r>
      <w:r>
        <w:t>.god</w:t>
      </w:r>
      <w:r w:rsidR="00E8394B">
        <w:t>.</w:t>
      </w:r>
      <w:r>
        <w:t xml:space="preserve"> Rashodi </w:t>
      </w:r>
      <w:r>
        <w:rPr>
          <w:spacing w:val="-16"/>
        </w:rPr>
        <w:t>za zaposlene</w:t>
      </w:r>
    </w:p>
    <w:p w:rsidR="00F017B7" w:rsidRDefault="00F041B7" w:rsidP="00F017B7">
      <w:r>
        <w:rPr>
          <w:spacing w:val="-16"/>
        </w:rPr>
        <w:t xml:space="preserve"> </w:t>
      </w:r>
      <w:r w:rsidR="00F017B7">
        <w:rPr>
          <w:spacing w:val="-16"/>
        </w:rPr>
        <w:t xml:space="preserve">(  AOP  133 ) </w:t>
      </w:r>
      <w:r w:rsidR="00E8394B">
        <w:rPr>
          <w:spacing w:val="-16"/>
        </w:rPr>
        <w:t>povećani su za 1,3</w:t>
      </w:r>
      <w:r w:rsidR="00F017B7">
        <w:rPr>
          <w:spacing w:val="-16"/>
        </w:rPr>
        <w:t xml:space="preserve"> %  u odnosu  na  201</w:t>
      </w:r>
      <w:r w:rsidR="00E8394B">
        <w:rPr>
          <w:spacing w:val="-16"/>
        </w:rPr>
        <w:t>3</w:t>
      </w:r>
      <w:r w:rsidR="00F017B7">
        <w:rPr>
          <w:spacing w:val="-16"/>
        </w:rPr>
        <w:t>.god. R</w:t>
      </w:r>
      <w:r w:rsidR="00F017B7">
        <w:t>ashodi za nabavku dugotrajne nefinancijske imovine ( AOP 734)   smanjeni su za 4</w:t>
      </w:r>
      <w:r w:rsidR="00E8394B">
        <w:t>0</w:t>
      </w:r>
      <w:r w:rsidR="00F017B7">
        <w:t>,</w:t>
      </w:r>
      <w:r w:rsidR="00E8394B">
        <w:t>5</w:t>
      </w:r>
      <w:r w:rsidR="00F017B7">
        <w:t xml:space="preserve"> % u odnosu na 201</w:t>
      </w:r>
      <w:r w:rsidR="00E8394B">
        <w:t>3</w:t>
      </w:r>
      <w:r w:rsidR="00F017B7">
        <w:t>.god.</w:t>
      </w:r>
      <w:r w:rsidR="00E8394B">
        <w:t>Rashodi za sitni inventar poveća ni su za 261 % u odnosu na 2013.god.To je posljedica pove</w:t>
      </w:r>
      <w:r w:rsidR="000A7F66">
        <w:t>ć</w:t>
      </w:r>
      <w:r w:rsidR="00E8394B">
        <w:t xml:space="preserve">ane nabavke opreme i računala ,koji su </w:t>
      </w:r>
      <w:r w:rsidR="000A7F66">
        <w:t xml:space="preserve">nabavne </w:t>
      </w:r>
      <w:r w:rsidR="00E8394B">
        <w:t>vrijednos</w:t>
      </w:r>
      <w:r w:rsidR="000A7F66">
        <w:t xml:space="preserve">ti </w:t>
      </w:r>
      <w:r w:rsidR="00E8394B">
        <w:t xml:space="preserve"> ispod 2.000,00 </w:t>
      </w:r>
      <w:r w:rsidR="000A7F66">
        <w:t>HRK</w:t>
      </w:r>
      <w:r w:rsidR="00E8394B">
        <w:t xml:space="preserve"> po komadu. </w:t>
      </w:r>
      <w:r w:rsidR="000A7F66">
        <w:t xml:space="preserve">Ukupni materijalni rashodi </w:t>
      </w:r>
      <w:r w:rsidR="00F017B7">
        <w:t xml:space="preserve"> (AOP 145) povećani su za </w:t>
      </w:r>
      <w:r w:rsidR="000A7F66">
        <w:t>7,8</w:t>
      </w:r>
      <w:r w:rsidR="00F017B7">
        <w:t xml:space="preserve"> % </w:t>
      </w:r>
      <w:r w:rsidR="000A7F66">
        <w:t>.</w:t>
      </w:r>
    </w:p>
    <w:p w:rsidR="00F017B7" w:rsidRDefault="00F017B7" w:rsidP="00F017B7"/>
    <w:p w:rsidR="000A7F66" w:rsidRDefault="00F017B7" w:rsidP="00F017B7">
      <w:r w:rsidRPr="001B2ADD">
        <w:t xml:space="preserve"> </w:t>
      </w:r>
      <w:r w:rsidR="000A7F66">
        <w:t xml:space="preserve">3.Višak primitaka naspram izdacima za </w:t>
      </w:r>
      <w:r>
        <w:t>201</w:t>
      </w:r>
      <w:r w:rsidR="000A7F66">
        <w:t>4</w:t>
      </w:r>
      <w:r>
        <w:t xml:space="preserve">.god </w:t>
      </w:r>
      <w:r w:rsidR="000A7F66">
        <w:t xml:space="preserve">iznosi ukupno 57.685 HRK.Preneseni višak primitaka iz prošlih razdoblja iznosi 36.784 HRK </w:t>
      </w:r>
      <w:r>
        <w:t xml:space="preserve">što rezultira </w:t>
      </w:r>
      <w:r w:rsidR="000A7F66">
        <w:t>iznosom</w:t>
      </w:r>
      <w:r>
        <w:t xml:space="preserve"> </w:t>
      </w:r>
      <w:r w:rsidR="000A7F66">
        <w:t>viška primitaka ,</w:t>
      </w:r>
      <w:r>
        <w:t>raspoloživi</w:t>
      </w:r>
      <w:r w:rsidR="000A7F66">
        <w:t>m</w:t>
      </w:r>
      <w:r>
        <w:t xml:space="preserve"> u slijedećem poslovnom razdoblju ,u iznosu od </w:t>
      </w:r>
      <w:r w:rsidR="000A7F66">
        <w:t>94.469</w:t>
      </w:r>
      <w:r>
        <w:t xml:space="preserve"> HRK.</w:t>
      </w:r>
      <w:r w:rsidR="000A7F66">
        <w:t>Od tog iznosa višak  primitaka od  Minist</w:t>
      </w:r>
    </w:p>
    <w:p w:rsidR="00F017B7" w:rsidRDefault="000A7F66" w:rsidP="00F017B7">
      <w:r>
        <w:t>arstva iznosi 30.368 HRK ,a odnosi se na prihode za plaće volontera u narednoj poslovnoj godini.</w:t>
      </w:r>
    </w:p>
    <w:p w:rsidR="00F017B7" w:rsidRDefault="00F017B7" w:rsidP="00F017B7"/>
    <w:p w:rsidR="00F017B7" w:rsidRDefault="00F017B7" w:rsidP="00F017B7">
      <w:pPr>
        <w:rPr>
          <w:b/>
          <w:bCs/>
          <w:spacing w:val="-1"/>
        </w:rPr>
      </w:pPr>
      <w:r>
        <w:rPr>
          <w:b/>
          <w:bCs/>
          <w:spacing w:val="-1"/>
        </w:rPr>
        <w:t>Bilje</w:t>
      </w:r>
      <w:r>
        <w:rPr>
          <w:rFonts w:cs="Times New Roman"/>
          <w:b/>
          <w:bCs/>
          <w:spacing w:val="-1"/>
        </w:rPr>
        <w:t>š</w:t>
      </w:r>
      <w:r>
        <w:rPr>
          <w:b/>
          <w:bCs/>
          <w:spacing w:val="-1"/>
        </w:rPr>
        <w:t>ke uz bilancu  i Izvj</w:t>
      </w:r>
      <w:r w:rsidRPr="00EC12A8">
        <w:rPr>
          <w:b/>
          <w:spacing w:val="-1"/>
        </w:rPr>
        <w:t>eštaj o promjenama u vrijednosti i obujmu imovine i obveza</w:t>
      </w:r>
    </w:p>
    <w:p w:rsidR="00F017B7" w:rsidRDefault="00F017B7" w:rsidP="00F017B7"/>
    <w:p w:rsidR="00F017B7" w:rsidRDefault="00F017B7" w:rsidP="00F017B7">
      <w:r>
        <w:t xml:space="preserve">1.Vrijednost ukupne imovine ( AOP 001 )  </w:t>
      </w:r>
      <w:r w:rsidR="00AF20C4">
        <w:t>ostala je na istoj razini kao i na koncu 2013.</w:t>
      </w:r>
      <w:r w:rsidRPr="00EC12A8">
        <w:t xml:space="preserve"> </w:t>
      </w:r>
    </w:p>
    <w:p w:rsidR="00AF20C4" w:rsidRDefault="00AF20C4" w:rsidP="00F017B7"/>
    <w:p w:rsidR="00AF20C4" w:rsidRDefault="00F017B7" w:rsidP="00F017B7">
      <w:r>
        <w:t xml:space="preserve">2.Vrijednost nefinancijske imovine ( AOP 002 ) smanjena je za </w:t>
      </w:r>
      <w:r w:rsidR="00AF20C4">
        <w:t>13,7</w:t>
      </w:r>
      <w:r>
        <w:t xml:space="preserve"> %.To je rezultat redovnog otpisa </w:t>
      </w:r>
      <w:r w:rsidR="00AF20C4">
        <w:t>proizvedene dugotrajne imovine</w:t>
      </w:r>
      <w:r>
        <w:t xml:space="preserve">,kao i knjigovodstvenog otpisa dijela rashodovane knjižničke građe </w:t>
      </w:r>
      <w:r w:rsidR="00AF20C4">
        <w:t>.</w:t>
      </w:r>
    </w:p>
    <w:p w:rsidR="00AF20C4" w:rsidRDefault="00AF20C4" w:rsidP="00F017B7">
      <w:r>
        <w:t>Na održanje iste razine vrijednosti ukupne imovine (AOP 001),utjecao je porast iznosa financijske imovine (AOP 061)</w:t>
      </w:r>
      <w:r w:rsidRPr="00AF20C4">
        <w:t xml:space="preserve"> </w:t>
      </w:r>
      <w:r>
        <w:t xml:space="preserve">za 70,5 % . </w:t>
      </w:r>
    </w:p>
    <w:p w:rsidR="00F017B7" w:rsidRDefault="00F017B7" w:rsidP="00AF20C4">
      <w:pPr>
        <w:shd w:val="clear" w:color="auto" w:fill="FFFFFF"/>
        <w:tabs>
          <w:tab w:val="left" w:pos="810"/>
        </w:tabs>
        <w:spacing w:before="454" w:line="230" w:lineRule="exact"/>
        <w:ind w:right="432"/>
        <w:rPr>
          <w:spacing w:val="-2"/>
        </w:rPr>
      </w:pPr>
      <w:r>
        <w:rPr>
          <w:spacing w:val="-2"/>
        </w:rPr>
        <w:t>U</w:t>
      </w:r>
      <w:r w:rsidR="00AF20C4">
        <w:rPr>
          <w:spacing w:val="-2"/>
        </w:rPr>
        <w:t xml:space="preserve"> </w:t>
      </w:r>
      <w:r>
        <w:rPr>
          <w:spacing w:val="-2"/>
        </w:rPr>
        <w:t>Splitu,</w:t>
      </w:r>
      <w:r w:rsidR="00AF20C4">
        <w:rPr>
          <w:spacing w:val="-2"/>
        </w:rPr>
        <w:t xml:space="preserve"> 30.siječnja 2014.</w:t>
      </w:r>
    </w:p>
    <w:p w:rsidR="00AF20C4" w:rsidRDefault="00AF20C4" w:rsidP="00AF20C4">
      <w:pPr>
        <w:shd w:val="clear" w:color="auto" w:fill="FFFFFF"/>
        <w:tabs>
          <w:tab w:val="left" w:pos="810"/>
        </w:tabs>
        <w:spacing w:before="454" w:line="230" w:lineRule="exact"/>
        <w:ind w:right="432"/>
      </w:pPr>
    </w:p>
    <w:p w:rsidR="00F017B7" w:rsidRDefault="00F017B7" w:rsidP="00F017B7">
      <w:pPr>
        <w:shd w:val="clear" w:color="auto" w:fill="FFFFFF"/>
        <w:spacing w:before="349"/>
      </w:pPr>
      <w:r>
        <w:t>Voditelj ra</w:t>
      </w:r>
      <w:r>
        <w:rPr>
          <w:rFonts w:cs="Times New Roman"/>
        </w:rPr>
        <w:t>č</w:t>
      </w:r>
      <w:r>
        <w:t>unovodstva: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7"/>
        </w:rPr>
        <w:t xml:space="preserve">Ravnatelj:    </w:t>
      </w:r>
    </w:p>
    <w:p w:rsidR="00F017B7" w:rsidRPr="00EC0E61" w:rsidRDefault="00F017B7" w:rsidP="00F017B7">
      <w:pPr>
        <w:shd w:val="clear" w:color="auto" w:fill="FFFFFF"/>
        <w:spacing w:line="677" w:lineRule="exact"/>
        <w:rPr>
          <w:spacing w:val="-7"/>
        </w:rPr>
      </w:pPr>
      <w:r>
        <w:rPr>
          <w:spacing w:val="-2"/>
        </w:rPr>
        <w:t>Emil Tramontana , dipl oec.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m</w:t>
      </w:r>
      <w:r>
        <w:rPr>
          <w:spacing w:val="-7"/>
        </w:rPr>
        <w:t>r. sc. Mladen Bilankov</w:t>
      </w:r>
    </w:p>
    <w:p w:rsidR="00F017B7" w:rsidRDefault="00F017B7" w:rsidP="00F017B7">
      <w:pPr>
        <w:shd w:val="clear" w:color="auto" w:fill="FFFFFF"/>
        <w:tabs>
          <w:tab w:val="left" w:pos="864"/>
        </w:tabs>
        <w:spacing w:before="234" w:after="1019" w:line="223" w:lineRule="exact"/>
        <w:ind w:right="277"/>
        <w:jc w:val="both"/>
        <w:rPr>
          <w:spacing w:val="-17"/>
        </w:rPr>
      </w:pPr>
    </w:p>
    <w:p w:rsidR="00F017B7" w:rsidRDefault="00F017B7" w:rsidP="00F017B7">
      <w:pPr>
        <w:shd w:val="clear" w:color="auto" w:fill="FFFFFF"/>
        <w:tabs>
          <w:tab w:val="left" w:pos="864"/>
        </w:tabs>
        <w:spacing w:before="234" w:after="1019" w:line="223" w:lineRule="exact"/>
        <w:ind w:right="277"/>
        <w:jc w:val="both"/>
        <w:rPr>
          <w:spacing w:val="-17"/>
        </w:rPr>
        <w:sectPr w:rsidR="00F017B7" w:rsidSect="00C550E3">
          <w:type w:val="continuous"/>
          <w:pgSz w:w="11909" w:h="16834"/>
          <w:pgMar w:top="1201" w:right="1419" w:bottom="360" w:left="1440" w:header="720" w:footer="720" w:gutter="0"/>
          <w:cols w:space="60"/>
          <w:noEndnote/>
        </w:sectPr>
      </w:pPr>
    </w:p>
    <w:p w:rsidR="0075590A" w:rsidRDefault="0075590A" w:rsidP="00F017B7">
      <w:pPr>
        <w:shd w:val="clear" w:color="auto" w:fill="FFFFFF"/>
        <w:spacing w:before="443"/>
        <w:ind w:left="25"/>
      </w:pPr>
    </w:p>
    <w:sectPr w:rsidR="0075590A" w:rsidSect="00F017B7">
      <w:type w:val="continuous"/>
      <w:pgSz w:w="11909" w:h="16834"/>
      <w:pgMar w:top="1201" w:right="1419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4A1"/>
    <w:multiLevelType w:val="hybridMultilevel"/>
    <w:tmpl w:val="4B2AEF1C"/>
    <w:lvl w:ilvl="0" w:tplc="6876CEF6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1">
    <w:nsid w:val="1A5D26D2"/>
    <w:multiLevelType w:val="singleLevel"/>
    <w:tmpl w:val="E8F6C540"/>
    <w:lvl w:ilvl="0">
      <w:start w:val="2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2">
    <w:nsid w:val="27B45689"/>
    <w:multiLevelType w:val="hybridMultilevel"/>
    <w:tmpl w:val="07DABA7A"/>
    <w:lvl w:ilvl="0" w:tplc="6240A1F0">
      <w:start w:val="1"/>
      <w:numFmt w:val="decimal"/>
      <w:lvlText w:val="%1."/>
      <w:lvlJc w:val="left"/>
      <w:pPr>
        <w:tabs>
          <w:tab w:val="num" w:pos="945"/>
        </w:tabs>
        <w:ind w:left="94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3">
    <w:nsid w:val="65A95BEC"/>
    <w:multiLevelType w:val="hybridMultilevel"/>
    <w:tmpl w:val="572A60C2"/>
    <w:lvl w:ilvl="0" w:tplc="2B0A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0ADA5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FB1D6B"/>
    <w:multiLevelType w:val="hybridMultilevel"/>
    <w:tmpl w:val="EC3436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B31DF"/>
    <w:rsid w:val="00010549"/>
    <w:rsid w:val="00030A53"/>
    <w:rsid w:val="00042539"/>
    <w:rsid w:val="000A3AB4"/>
    <w:rsid w:val="000A7F66"/>
    <w:rsid w:val="000D5513"/>
    <w:rsid w:val="001256C0"/>
    <w:rsid w:val="001B2ADD"/>
    <w:rsid w:val="001C1B5F"/>
    <w:rsid w:val="002303DD"/>
    <w:rsid w:val="00232690"/>
    <w:rsid w:val="0024529F"/>
    <w:rsid w:val="00262479"/>
    <w:rsid w:val="00267D01"/>
    <w:rsid w:val="003228C6"/>
    <w:rsid w:val="0033262D"/>
    <w:rsid w:val="003431BE"/>
    <w:rsid w:val="0039365D"/>
    <w:rsid w:val="003C160C"/>
    <w:rsid w:val="003D0A6E"/>
    <w:rsid w:val="003E36FE"/>
    <w:rsid w:val="003E38BF"/>
    <w:rsid w:val="00415622"/>
    <w:rsid w:val="00447B8B"/>
    <w:rsid w:val="00466282"/>
    <w:rsid w:val="004D2911"/>
    <w:rsid w:val="004F740C"/>
    <w:rsid w:val="0051587D"/>
    <w:rsid w:val="00523DFE"/>
    <w:rsid w:val="0052683F"/>
    <w:rsid w:val="005402BA"/>
    <w:rsid w:val="0054367E"/>
    <w:rsid w:val="00552BE4"/>
    <w:rsid w:val="005668AE"/>
    <w:rsid w:val="005C3074"/>
    <w:rsid w:val="005F0CC4"/>
    <w:rsid w:val="00604ED1"/>
    <w:rsid w:val="00624353"/>
    <w:rsid w:val="0065561F"/>
    <w:rsid w:val="0071190F"/>
    <w:rsid w:val="00744BCD"/>
    <w:rsid w:val="007534F9"/>
    <w:rsid w:val="0075590A"/>
    <w:rsid w:val="00764597"/>
    <w:rsid w:val="00773C73"/>
    <w:rsid w:val="00815EBE"/>
    <w:rsid w:val="008270CE"/>
    <w:rsid w:val="00842986"/>
    <w:rsid w:val="0084465D"/>
    <w:rsid w:val="008710CF"/>
    <w:rsid w:val="00872995"/>
    <w:rsid w:val="008B7199"/>
    <w:rsid w:val="008D4097"/>
    <w:rsid w:val="009239E6"/>
    <w:rsid w:val="009A749C"/>
    <w:rsid w:val="009B77FB"/>
    <w:rsid w:val="00A2756A"/>
    <w:rsid w:val="00A32AE9"/>
    <w:rsid w:val="00A51F36"/>
    <w:rsid w:val="00A72C74"/>
    <w:rsid w:val="00A84488"/>
    <w:rsid w:val="00A936B5"/>
    <w:rsid w:val="00AA1E58"/>
    <w:rsid w:val="00AA47EF"/>
    <w:rsid w:val="00AB31DF"/>
    <w:rsid w:val="00AF20C4"/>
    <w:rsid w:val="00B27898"/>
    <w:rsid w:val="00B41833"/>
    <w:rsid w:val="00B52915"/>
    <w:rsid w:val="00B73050"/>
    <w:rsid w:val="00BE37FD"/>
    <w:rsid w:val="00BF1FBE"/>
    <w:rsid w:val="00C06801"/>
    <w:rsid w:val="00C20871"/>
    <w:rsid w:val="00C25643"/>
    <w:rsid w:val="00C550E3"/>
    <w:rsid w:val="00C579C2"/>
    <w:rsid w:val="00CE1C64"/>
    <w:rsid w:val="00D62F24"/>
    <w:rsid w:val="00DA2BB6"/>
    <w:rsid w:val="00DB5664"/>
    <w:rsid w:val="00DC4548"/>
    <w:rsid w:val="00DF722B"/>
    <w:rsid w:val="00E02BA9"/>
    <w:rsid w:val="00E76997"/>
    <w:rsid w:val="00E8394B"/>
    <w:rsid w:val="00E861DD"/>
    <w:rsid w:val="00EB1ED1"/>
    <w:rsid w:val="00EC0E61"/>
    <w:rsid w:val="00EC12A8"/>
    <w:rsid w:val="00ED4FCA"/>
    <w:rsid w:val="00F017B7"/>
    <w:rsid w:val="00F041B7"/>
    <w:rsid w:val="00F22F45"/>
    <w:rsid w:val="00F65B74"/>
    <w:rsid w:val="00F84882"/>
    <w:rsid w:val="00FD5C82"/>
    <w:rsid w:val="00FF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6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ŠKOLA LIKOVNIH UMJETNOSTI</vt:lpstr>
      <vt:lpstr>ŠKOLA LIKOVNIH UMJETNOSTI</vt:lpstr>
    </vt:vector>
  </TitlesOfParts>
  <Company>ŠKOLA LIKOVNIH UMJETNOSTI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LIKOVNIH UMJETNOSTI</dc:title>
  <dc:creator>REFERADA</dc:creator>
  <cp:lastModifiedBy>racunovodstvo</cp:lastModifiedBy>
  <cp:revision>3</cp:revision>
  <cp:lastPrinted>2013-02-15T06:43:00Z</cp:lastPrinted>
  <dcterms:created xsi:type="dcterms:W3CDTF">2015-01-30T11:34:00Z</dcterms:created>
  <dcterms:modified xsi:type="dcterms:W3CDTF">2015-01-30T11:35:00Z</dcterms:modified>
</cp:coreProperties>
</file>